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A76" w:rsidRDefault="00147A76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147A76" w:rsidRDefault="0009247C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MEMORIAL DESCRITIVO</w:t>
      </w:r>
    </w:p>
    <w:p w:rsidR="00147A76" w:rsidRDefault="00147A76">
      <w:pPr>
        <w:rPr>
          <w:rFonts w:ascii="Arial" w:hAnsi="Arial" w:cs="Arial"/>
        </w:rPr>
      </w:pPr>
    </w:p>
    <w:p w:rsidR="00147A76" w:rsidRDefault="0009247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PREFEITURA MUNICIPAL DA ESTÂNCIA TURÍSTICA DE IBITINGA</w:t>
      </w:r>
    </w:p>
    <w:p w:rsidR="00147A76" w:rsidRDefault="0009247C">
      <w:r>
        <w:rPr>
          <w:rFonts w:ascii="Arial" w:hAnsi="Arial" w:cs="Arial"/>
          <w:b/>
          <w:bCs/>
        </w:rPr>
        <w:t xml:space="preserve">Objeto: </w:t>
      </w:r>
      <w:r>
        <w:rPr>
          <w:rFonts w:ascii="Arial" w:hAnsi="Arial"/>
          <w:bCs/>
          <w:szCs w:val="26"/>
        </w:rPr>
        <w:t xml:space="preserve">Manutenção dos </w:t>
      </w:r>
      <w:proofErr w:type="spellStart"/>
      <w:r>
        <w:rPr>
          <w:rFonts w:ascii="Arial" w:hAnsi="Arial"/>
          <w:bCs/>
          <w:szCs w:val="26"/>
        </w:rPr>
        <w:t>gabiões</w:t>
      </w:r>
      <w:proofErr w:type="spellEnd"/>
      <w:r>
        <w:rPr>
          <w:rFonts w:ascii="Arial" w:hAnsi="Arial"/>
          <w:bCs/>
          <w:szCs w:val="26"/>
        </w:rPr>
        <w:t xml:space="preserve"> da Av. Carolina </w:t>
      </w:r>
      <w:proofErr w:type="spellStart"/>
      <w:r>
        <w:rPr>
          <w:rFonts w:ascii="Arial" w:hAnsi="Arial"/>
          <w:bCs/>
          <w:szCs w:val="26"/>
        </w:rPr>
        <w:t>Gereto</w:t>
      </w:r>
      <w:proofErr w:type="spellEnd"/>
      <w:r>
        <w:rPr>
          <w:rFonts w:ascii="Arial" w:hAnsi="Arial"/>
          <w:bCs/>
          <w:szCs w:val="26"/>
        </w:rPr>
        <w:t xml:space="preserve"> Dall'Acqua</w:t>
      </w:r>
    </w:p>
    <w:p w:rsidR="00147A76" w:rsidRDefault="0009247C">
      <w:r>
        <w:rPr>
          <w:rFonts w:ascii="Arial" w:hAnsi="Arial" w:cs="Arial"/>
          <w:b/>
          <w:bCs/>
        </w:rPr>
        <w:t>Endereço:</w:t>
      </w:r>
      <w:r>
        <w:rPr>
          <w:rFonts w:ascii="Arial" w:hAnsi="Arial" w:cs="Arial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 xml:space="preserve">Av. Carolina </w:t>
      </w:r>
      <w:proofErr w:type="spellStart"/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>Gereto</w:t>
      </w:r>
      <w:proofErr w:type="spellEnd"/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 xml:space="preserve"> </w:t>
      </w:r>
      <w:proofErr w:type="spellStart"/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>Dall</w:t>
      </w:r>
      <w:proofErr w:type="spellEnd"/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 xml:space="preserve">’ </w:t>
      </w:r>
      <w:proofErr w:type="spellStart"/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>Acqua</w:t>
      </w:r>
      <w:proofErr w:type="spellEnd"/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 xml:space="preserve"> com Rua Capitão Simões</w:t>
      </w:r>
    </w:p>
    <w:p w:rsidR="00147A76" w:rsidRDefault="0009247C">
      <w:r>
        <w:rPr>
          <w:rFonts w:ascii="Arial" w:hAnsi="Arial" w:cs="Arial"/>
          <w:b/>
          <w:bCs/>
        </w:rPr>
        <w:t>Data da Elaboração:</w:t>
      </w:r>
      <w:r>
        <w:rPr>
          <w:rFonts w:ascii="Arial" w:hAnsi="Arial" w:cs="Arial"/>
        </w:rPr>
        <w:t xml:space="preserve"> </w:t>
      </w:r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>28</w:t>
      </w:r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>/04</w:t>
      </w:r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>/2025</w:t>
      </w:r>
      <w:bookmarkStart w:id="0" w:name="_GoBack"/>
      <w:bookmarkEnd w:id="0"/>
    </w:p>
    <w:p w:rsidR="00147A76" w:rsidRDefault="0009247C">
      <w:r>
        <w:rPr>
          <w:rFonts w:ascii="Arial" w:hAnsi="Arial" w:cs="Arial"/>
          <w:b/>
          <w:bCs/>
        </w:rPr>
        <w:t>Fonte:</w:t>
      </w:r>
      <w:r>
        <w:rPr>
          <w:rFonts w:ascii="Arial" w:hAnsi="Arial" w:cs="Arial"/>
        </w:rPr>
        <w:t xml:space="preserve"> Tabela de Composição CDHU 190 Desonerada – Tab. Ref. </w:t>
      </w:r>
      <w:proofErr w:type="gramStart"/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Maio</w:t>
      </w:r>
      <w:proofErr w:type="gramEnd"/>
      <w:r>
        <w:rPr>
          <w:rFonts w:ascii="Arial" w:hAnsi="Arial" w:cs="Arial"/>
        </w:rPr>
        <w:t xml:space="preserve">/2023                 </w:t>
      </w:r>
    </w:p>
    <w:p w:rsidR="00147A76" w:rsidRDefault="00147A76">
      <w:pPr>
        <w:rPr>
          <w:rFonts w:ascii="Arial" w:hAnsi="Arial" w:cs="Arial"/>
        </w:rPr>
      </w:pPr>
    </w:p>
    <w:p w:rsidR="00147A76" w:rsidRDefault="00147A76">
      <w:pPr>
        <w:rPr>
          <w:rFonts w:ascii="Arial" w:hAnsi="Arial" w:cs="Arial"/>
        </w:rPr>
      </w:pPr>
    </w:p>
    <w:p w:rsidR="00147A76" w:rsidRDefault="0009247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INTRODUÇÃO</w:t>
      </w:r>
    </w:p>
    <w:p w:rsidR="00147A76" w:rsidRDefault="0009247C">
      <w:pPr>
        <w:ind w:firstLine="709"/>
      </w:pPr>
      <w:r>
        <w:rPr>
          <w:rFonts w:ascii="Arial" w:hAnsi="Arial" w:cs="Arial"/>
        </w:rPr>
        <w:t xml:space="preserve">O objeto em questão trata-se do projeto básico para </w:t>
      </w:r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 xml:space="preserve">a execução de </w:t>
      </w:r>
      <w:proofErr w:type="spellStart"/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>gabiões</w:t>
      </w:r>
      <w:proofErr w:type="spellEnd"/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 xml:space="preserve"> do Canal da Av. Carolina </w:t>
      </w:r>
      <w:proofErr w:type="spellStart"/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>Gereto</w:t>
      </w:r>
      <w:proofErr w:type="spellEnd"/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 xml:space="preserve"> </w:t>
      </w:r>
      <w:proofErr w:type="spellStart"/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>Dall</w:t>
      </w:r>
      <w:proofErr w:type="spellEnd"/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 xml:space="preserve">’ </w:t>
      </w:r>
      <w:proofErr w:type="spellStart"/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>Acqua</w:t>
      </w:r>
      <w:proofErr w:type="spellEnd"/>
      <w:r>
        <w:rPr>
          <w:rFonts w:ascii="Arial" w:eastAsia="Lucida Sans Unicode" w:hAnsi="Arial" w:cs="Arial"/>
          <w:color w:val="000000"/>
          <w:kern w:val="2"/>
          <w:sz w:val="24"/>
          <w:szCs w:val="24"/>
          <w:lang w:eastAsia="zh-CN" w:bidi="hi-IN"/>
        </w:rPr>
        <w:t xml:space="preserve"> com Rua Capitão Simões.</w:t>
      </w:r>
    </w:p>
    <w:p w:rsidR="00147A76" w:rsidRDefault="0009247C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 presente memorial </w:t>
      </w:r>
      <w:r>
        <w:rPr>
          <w:rFonts w:ascii="Arial" w:hAnsi="Arial" w:cs="Arial"/>
        </w:rPr>
        <w:t>é parte integrante do referido projeto e tem por finalidade instruir os procedimentos e métodos para a execução dos serviços.</w:t>
      </w:r>
    </w:p>
    <w:p w:rsidR="00147A76" w:rsidRDefault="00147A76">
      <w:pPr>
        <w:spacing w:line="360" w:lineRule="auto"/>
        <w:ind w:firstLine="709"/>
        <w:rPr>
          <w:rFonts w:ascii="Arial" w:hAnsi="Arial" w:cs="Arial"/>
        </w:rPr>
      </w:pPr>
    </w:p>
    <w:p w:rsidR="00147A76" w:rsidRDefault="00147A76">
      <w:pPr>
        <w:spacing w:line="360" w:lineRule="auto"/>
        <w:ind w:firstLine="709"/>
        <w:rPr>
          <w:rFonts w:ascii="Arial" w:hAnsi="Arial" w:cs="Arial"/>
        </w:rPr>
      </w:pPr>
    </w:p>
    <w:p w:rsidR="00147A76" w:rsidRDefault="0009247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QUALIDADE DOS SERVIÇOS E MATERIAIS</w:t>
      </w:r>
    </w:p>
    <w:p w:rsidR="00147A76" w:rsidRDefault="0009247C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Os serviços executados deverão obedecer rigorosamente às boas técnicas adotadas usualmente na</w:t>
      </w:r>
      <w:r>
        <w:rPr>
          <w:rFonts w:ascii="Arial" w:hAnsi="Arial" w:cs="Arial"/>
        </w:rPr>
        <w:t xml:space="preserve"> engenharia, em consonância com os critérios de aceitação e rejeição prescritos nas Normas Técnicas em vigor.</w:t>
      </w:r>
    </w:p>
    <w:p w:rsidR="00147A76" w:rsidRDefault="0009247C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Todos os materiais a serem empregados deverão ser de primeira qualidade, atendendo às normas técnicas e especificações da ABNT e da Prefeitura Mun</w:t>
      </w:r>
      <w:r>
        <w:rPr>
          <w:rFonts w:ascii="Arial" w:hAnsi="Arial" w:cs="Arial"/>
        </w:rPr>
        <w:t>icipal da Estância Turística de Ibitinga.</w:t>
      </w:r>
    </w:p>
    <w:p w:rsidR="00147A76" w:rsidRDefault="0009247C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A aplicação dos materiais será rigorosamente supervisionada pela fiscalização, não sendo aceito aquele cuja qualidade seja inferior às especificadas. Em caso de dúvida, a fiscalização poderá exigir ensaios ou demai</w:t>
      </w:r>
      <w:r>
        <w:rPr>
          <w:rFonts w:ascii="Arial" w:hAnsi="Arial" w:cs="Arial"/>
        </w:rPr>
        <w:t>s comprovações necessárias e a seu inteiro critério.</w:t>
      </w:r>
    </w:p>
    <w:p w:rsidR="00147A76" w:rsidRDefault="0009247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MATERIAIS E EQUIPAMENTOS</w:t>
      </w:r>
    </w:p>
    <w:p w:rsidR="00147A76" w:rsidRDefault="0009247C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Todo material e equipamento necessário para a execução dos trabalhos, bem como a vigilância do canteiro como um todo será de responsabilidade da Empresa Contratada.</w:t>
      </w:r>
    </w:p>
    <w:p w:rsidR="00147A76" w:rsidRDefault="0009247C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Os materiais </w:t>
      </w:r>
      <w:r>
        <w:rPr>
          <w:rFonts w:ascii="Arial" w:hAnsi="Arial" w:cs="Arial"/>
        </w:rPr>
        <w:t>serão estocados sob a responsabilidade da Empresa Contratada, bem como o transporte dos mesmos até o local da obra.</w:t>
      </w:r>
    </w:p>
    <w:p w:rsidR="00147A76" w:rsidRDefault="0009247C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A construtora deverá recolher ART (Anotação de Responsabilidade Técnica) referente à responsabilidade técnica pela execução da obra. Todas a</w:t>
      </w:r>
      <w:r>
        <w:rPr>
          <w:rFonts w:ascii="Arial" w:hAnsi="Arial" w:cs="Arial"/>
        </w:rPr>
        <w:t xml:space="preserve">s </w:t>
      </w:r>
      <w:proofErr w:type="spellStart"/>
      <w:r>
        <w:rPr>
          <w:rFonts w:ascii="Arial" w:hAnsi="Arial" w:cs="Arial"/>
        </w:rPr>
        <w:t>ART's</w:t>
      </w:r>
      <w:proofErr w:type="spellEnd"/>
      <w:r>
        <w:rPr>
          <w:rFonts w:ascii="Arial" w:hAnsi="Arial" w:cs="Arial"/>
        </w:rPr>
        <w:t xml:space="preserve"> recolhidas deverão ter cópias encaminhadas ao Setor de Licitações para arquivamento junto ao processo administrativo de licitação da obra.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ab/>
      </w:r>
    </w:p>
    <w:p w:rsidR="00147A76" w:rsidRDefault="0009247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DESCRIÇÃO DOS SERVIÇOS</w:t>
      </w:r>
    </w:p>
    <w:p w:rsidR="00147A76" w:rsidRDefault="0009247C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  <w:t>1) SERVIÇOS PRELIMINARES</w:t>
      </w:r>
    </w:p>
    <w:p w:rsidR="00147A76" w:rsidRDefault="0009247C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Placa de identificação para obra</w:t>
      </w:r>
    </w:p>
    <w:p w:rsidR="00147A76" w:rsidRDefault="0009247C">
      <w:pPr>
        <w:suppressAutoHyphens w:val="0"/>
        <w:spacing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1) Será medido por área de</w:t>
      </w: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 xml:space="preserve"> placa executada (m²).</w:t>
      </w:r>
    </w:p>
    <w:p w:rsidR="00147A76" w:rsidRDefault="0009247C">
      <w:pPr>
        <w:suppressAutoHyphens w:val="0"/>
        <w:spacing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 xml:space="preserve">2) O item remunera o fornecimento de materiais, acessórios para fixação e a mão-de-obra necessária para instalação de placa para identificação da obra, englobando os módulos referentes às placas do Governo do Estado de São Paulo, da </w:t>
      </w: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empresa Gerenciadora, e do cronograma da obra, constituída por: chapa em aço galvanizado nº16 ou nº18, com tratamento anticorrosivo resistente às intempéries; Fundo em compensado de madeira, espessura de 12 mm; requadro e estrutura em madeira; Marcas, logo</w:t>
      </w: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 xml:space="preserve">marcas, assinaturas e título da obra, conforme especificações do Manual de Padronização de Assinaturas do Governo do Estado de São Paulo e da empresa Gerenciadora; Pontaletes de </w:t>
      </w:r>
      <w:proofErr w:type="spellStart"/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Erisma</w:t>
      </w:r>
      <w:proofErr w:type="spellEnd"/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 xml:space="preserve"> </w:t>
      </w:r>
      <w:proofErr w:type="spellStart"/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uncinatum</w:t>
      </w:r>
      <w:proofErr w:type="spellEnd"/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 xml:space="preserve"> (conhecido como </w:t>
      </w:r>
      <w:proofErr w:type="spellStart"/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Quarubarana</w:t>
      </w:r>
      <w:proofErr w:type="spellEnd"/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 xml:space="preserve"> ou Cedrinho), ou </w:t>
      </w:r>
      <w:proofErr w:type="spellStart"/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Qualea</w:t>
      </w:r>
      <w:proofErr w:type="spellEnd"/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 xml:space="preserve"> </w:t>
      </w:r>
      <w:proofErr w:type="spellStart"/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spp</w:t>
      </w:r>
      <w:proofErr w:type="spellEnd"/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 xml:space="preserve"> (conh</w:t>
      </w: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ecida como Cambará), de 3 x 3. Não remunera as placas dos fornecedores.</w:t>
      </w:r>
    </w:p>
    <w:p w:rsidR="00147A76" w:rsidRDefault="00147A76">
      <w:pPr>
        <w:suppressAutoHyphens w:val="0"/>
        <w:spacing w:line="240" w:lineRule="auto"/>
        <w:jc w:val="both"/>
        <w:rPr>
          <w:rFonts w:ascii="Arial" w:hAnsi="Arial" w:cs="Arial"/>
        </w:rPr>
      </w:pPr>
    </w:p>
    <w:p w:rsidR="00147A76" w:rsidRDefault="0009247C">
      <w:pPr>
        <w:suppressAutoHyphens w:val="0"/>
        <w:spacing w:line="240" w:lineRule="auto"/>
        <w:jc w:val="both"/>
        <w:rPr>
          <w:rFonts w:ascii="Arial" w:hAnsi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Escavação e carga mecanizada em solo de 2ª categoria, em campo aberto</w:t>
      </w:r>
      <w:r>
        <w:rPr>
          <w:rFonts w:ascii="Arial" w:hAnsi="Arial" w:cs="Arial"/>
          <w:b/>
          <w:bCs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br/>
      </w: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1) Será medido pelo volume de corte, considerado na caixa (m³).</w:t>
      </w:r>
    </w:p>
    <w:p w:rsidR="00147A76" w:rsidRDefault="0009247C">
      <w:pPr>
        <w:suppressAutoHyphens w:val="0"/>
        <w:spacing w:line="240" w:lineRule="auto"/>
        <w:jc w:val="both"/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</w:pP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2) O item remunera o fornecimento de equipamento</w:t>
      </w: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 xml:space="preserve">s, materiais acessórios e mão de obra necessária para a execução de corte de terra no talude dos dois lados do canal, com a finalidade de deixar a área segura e com espaço para os serviços de alargamento do canal em contenção de </w:t>
      </w:r>
      <w:proofErr w:type="spellStart"/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gabião</w:t>
      </w:r>
      <w:proofErr w:type="spellEnd"/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, englobando os servi</w:t>
      </w: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ços: escavação e carga mecanizadas; transporte interno a obra, num raio de um quilômetro; descarregamento para distâncias inferiores a um quilômetro; locação dos platôs e taludes; nivelamento, acertos e acabamentos manuais. Não remunera a limpeza e raspage</w:t>
      </w:r>
      <w:r>
        <w:rPr>
          <w:rFonts w:ascii="Arial" w:eastAsia="Lucida Sans Unicode" w:hAnsi="Arial" w:cs="Arial"/>
          <w:kern w:val="2"/>
          <w:sz w:val="24"/>
          <w:szCs w:val="24"/>
          <w:lang w:eastAsia="zh-CN" w:bidi="hi-IN"/>
        </w:rPr>
        <w:t>m do terreno, incluindo a retirada de raízes e troncos.</w:t>
      </w:r>
    </w:p>
    <w:p w:rsidR="00147A76" w:rsidRDefault="00147A76">
      <w:pPr>
        <w:suppressAutoHyphens w:val="0"/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Demolição manual de concreto armado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Será medido pelo volume real demolido, medido no projeto, ou conforme levantamento cadastral, ou aferido antes da demolição (m³).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O item remunera o fornecime</w:t>
      </w:r>
      <w:r>
        <w:rPr>
          <w:rFonts w:ascii="Arial" w:hAnsi="Arial" w:cs="Arial"/>
          <w:sz w:val="24"/>
          <w:szCs w:val="24"/>
        </w:rPr>
        <w:t>nto da mão-de-obra necessária e ferramentas adequadas para a demolição de toda a base de concreto existente dos 170m de extensão do canal, contemplando os serviços de: desmonte, demolição, fragmentação de elementos em concreto armado manualmente; a seleção</w:t>
      </w:r>
      <w:r>
        <w:rPr>
          <w:rFonts w:ascii="Arial" w:hAnsi="Arial" w:cs="Arial"/>
          <w:sz w:val="24"/>
          <w:szCs w:val="24"/>
        </w:rPr>
        <w:t xml:space="preserve"> e a acomodação manual do entulho em lotes. Normas técnicas: NBR 15112, NBR 15113 e NBR 15114.</w:t>
      </w:r>
    </w:p>
    <w:p w:rsidR="00147A76" w:rsidRDefault="00147A76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Carregamento mecanizado de entulho fragmentado, com caminhão à disposição dentro da obra, até o raio de 1 km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Será medido por volume de entulho retirado, afer</w:t>
      </w:r>
      <w:r>
        <w:rPr>
          <w:rFonts w:ascii="Arial" w:hAnsi="Arial" w:cs="Arial"/>
          <w:sz w:val="24"/>
          <w:szCs w:val="24"/>
        </w:rPr>
        <w:t>ido no caminhão (m³).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O item remunera o fornecimento de equipamentos e a mão de obra necessária para a remoção dos entulhos de concreto gerados pela demolição da base do canal, contemplando os serviços de: a carga mecanizada; o transporte com caminhão, </w:t>
      </w:r>
      <w:r>
        <w:rPr>
          <w:rFonts w:ascii="Arial" w:hAnsi="Arial" w:cs="Arial"/>
          <w:sz w:val="24"/>
          <w:szCs w:val="24"/>
        </w:rPr>
        <w:t xml:space="preserve">até 1 (um) quilômetro; o descarregamento; a seleção e acomodação manual do entulho em lotes do volume da demolição de concreto armado. A execução dos serviços deverá cumprir todas as exigências e determinações previstas na legislação: Resolução nº 307, de </w:t>
      </w:r>
      <w:r>
        <w:rPr>
          <w:rFonts w:ascii="Arial" w:hAnsi="Arial" w:cs="Arial"/>
          <w:sz w:val="24"/>
          <w:szCs w:val="24"/>
        </w:rPr>
        <w:t>5 de julho de 2002 e suas alterações, pelo Conselho Nacional do Meio Ambiente (CONAMA). Normas técnicas: NBR 15112, NBR 15113 e NBR 15114.</w:t>
      </w:r>
    </w:p>
    <w:p w:rsidR="00147A76" w:rsidRDefault="00147A76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/>
          <w:b/>
        </w:rPr>
        <w:t>REMOCAO DE GABIAO TIPO CAIXA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Será medido por volume de </w:t>
      </w:r>
      <w:proofErr w:type="spellStart"/>
      <w:r>
        <w:rPr>
          <w:rFonts w:ascii="Arial" w:hAnsi="Arial" w:cs="Arial"/>
          <w:sz w:val="24"/>
          <w:szCs w:val="24"/>
        </w:rPr>
        <w:t>gabião</w:t>
      </w:r>
      <w:proofErr w:type="spellEnd"/>
      <w:r>
        <w:rPr>
          <w:rFonts w:ascii="Arial" w:hAnsi="Arial" w:cs="Arial"/>
          <w:sz w:val="24"/>
          <w:szCs w:val="24"/>
        </w:rPr>
        <w:t xml:space="preserve"> removido do canal (m³).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2) O item remunera o </w:t>
      </w:r>
      <w:r>
        <w:rPr>
          <w:rFonts w:ascii="Arial" w:hAnsi="Arial" w:cs="Arial"/>
          <w:bCs/>
          <w:sz w:val="24"/>
          <w:szCs w:val="24"/>
        </w:rPr>
        <w:t xml:space="preserve">fornecimento de materiais, equipamentos e mão de obra para a remoção de todo o </w:t>
      </w:r>
      <w:proofErr w:type="spellStart"/>
      <w:r>
        <w:rPr>
          <w:rFonts w:ascii="Arial" w:hAnsi="Arial" w:cs="Arial"/>
          <w:bCs/>
          <w:sz w:val="24"/>
          <w:szCs w:val="24"/>
        </w:rPr>
        <w:t>gabião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do canal conforme projeto, deixando 50% do volume para reutilização e 50% será descartado por transporte.</w:t>
      </w:r>
    </w:p>
    <w:p w:rsidR="00147A76" w:rsidRDefault="00147A76">
      <w:pPr>
        <w:suppressAutoHyphens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47A76" w:rsidRDefault="0009247C">
      <w:pPr>
        <w:suppressAutoHyphens w:val="0"/>
        <w:spacing w:line="240" w:lineRule="auto"/>
        <w:jc w:val="both"/>
        <w:rPr>
          <w:rFonts w:ascii="Arial" w:eastAsia="Calibri" w:hAnsi="Arial"/>
          <w:b/>
        </w:rPr>
      </w:pPr>
      <w:r>
        <w:rPr>
          <w:rFonts w:ascii="Arial" w:eastAsia="Calibri" w:hAnsi="Arial"/>
          <w:b/>
        </w:rPr>
        <w:t>Transporte de solo de 1ª e 2ª categoria por caminhão para distâ</w:t>
      </w:r>
      <w:r>
        <w:rPr>
          <w:rFonts w:ascii="Arial" w:eastAsia="Calibri" w:hAnsi="Arial"/>
          <w:b/>
        </w:rPr>
        <w:t>ncias superiores ao 5° km até o 10° km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1) Será medido pelo volume de solo, aferido na caixa, sendo a distância de transporte considerada desde o local de carregamento até a unidade de destinação final, ou da jazida, até o local de descarregamento, menos 1 </w:t>
      </w:r>
      <w:r>
        <w:rPr>
          <w:rFonts w:ascii="Arial" w:hAnsi="Arial" w:cs="Arial"/>
          <w:bCs/>
          <w:sz w:val="24"/>
          <w:szCs w:val="24"/>
        </w:rPr>
        <w:t xml:space="preserve">quilômetro (m³). 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2) O item remunera o tempo do veículo à disposição, para o carregamento, descarregamento e manutenção; para a remoção do solo remanescente que foi cortado e que não será aterrado, contemplando os serviços de: transporte, descarregamento, </w:t>
      </w:r>
      <w:r>
        <w:rPr>
          <w:rFonts w:ascii="Arial" w:hAnsi="Arial" w:cs="Arial"/>
          <w:bCs/>
          <w:sz w:val="24"/>
          <w:szCs w:val="24"/>
        </w:rPr>
        <w:t>e o retorno do veículo descarregado, para distâncias superiores a 5 quilômetros até 10 quilômetros. O serviço de transporte de solos até unidade de destinação final deverá cumprir todas as exigências e determinações previstas na legislação: Resolução nº 30</w:t>
      </w:r>
      <w:r>
        <w:rPr>
          <w:rFonts w:ascii="Arial" w:hAnsi="Arial" w:cs="Arial"/>
          <w:bCs/>
          <w:sz w:val="24"/>
          <w:szCs w:val="24"/>
        </w:rPr>
        <w:t>7, de 5 de julho de 2002 e suas alterações, pelo Conselho Nacional do Meio Ambiente (CONAMA). Estão inclusos todos os impostos legais e despesas necessárias junto aos órgãos regulamentadores das atividades envolvidas. Não remunera os serviços de espalhamen</w:t>
      </w:r>
      <w:r>
        <w:rPr>
          <w:rFonts w:ascii="Arial" w:hAnsi="Arial" w:cs="Arial"/>
          <w:bCs/>
          <w:sz w:val="24"/>
          <w:szCs w:val="24"/>
        </w:rPr>
        <w:t>to quando necessário. Normas técnicas: NBR 15112, NBR 15113 e NBR 15114.</w:t>
      </w:r>
    </w:p>
    <w:p w:rsidR="00147A76" w:rsidRDefault="00147A76">
      <w:pPr>
        <w:suppressAutoHyphens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Transporte de entulho, para distâncias superiores ao 5° km até o 10° km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Será medido por volume de entulho, aferido no caminhão, sendo a distância de transporte considerada desde o</w:t>
      </w:r>
      <w:r>
        <w:rPr>
          <w:rFonts w:ascii="Arial" w:hAnsi="Arial" w:cs="Arial"/>
          <w:sz w:val="24"/>
          <w:szCs w:val="24"/>
        </w:rPr>
        <w:t xml:space="preserve"> local de carregamento até o local de despejo, menos 1 quilômetro (m³).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O item remunera o fornecimento de caminhão basculante, com caçamba reforçada, e a mão de obra necessária para a remoção dos entulhos de concreto gerados pela demolição da base do ca</w:t>
      </w:r>
      <w:r>
        <w:rPr>
          <w:rFonts w:ascii="Arial" w:hAnsi="Arial" w:cs="Arial"/>
          <w:sz w:val="24"/>
          <w:szCs w:val="24"/>
        </w:rPr>
        <w:t>nal, contemplando os serviços de transporte do material de entulho, para distâncias superiores a 5 quilômetros até 10 quilômetros. Remunera também o retorno do veículo descarregado. Todo entulho gerado deverá obedecer à Lei nº 14.803, de 26 de junho de 200</w:t>
      </w:r>
      <w:r>
        <w:rPr>
          <w:rFonts w:ascii="Arial" w:hAnsi="Arial" w:cs="Arial"/>
          <w:sz w:val="24"/>
          <w:szCs w:val="24"/>
        </w:rPr>
        <w:t>8 e à Resolução CONAMA nº 307/2002 e suas alterações. Normas técnicas: NBR 15112, NBR 15113 e NBR 15114.</w:t>
      </w:r>
    </w:p>
    <w:p w:rsidR="00147A76" w:rsidRDefault="00147A76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 w:bidi="hi-IN"/>
        </w:rPr>
        <w:t>2) DRENAGEM - GABIÕES E LAJE DE FUNDO DO CANAL (170 METROS)</w:t>
      </w:r>
    </w:p>
    <w:p w:rsidR="00147A76" w:rsidRDefault="0009247C">
      <w:pPr>
        <w:suppressAutoHyphens w:val="0"/>
        <w:spacing w:line="240" w:lineRule="auto"/>
        <w:jc w:val="both"/>
        <w:rPr>
          <w:rFonts w:ascii="Arial" w:eastAsia="Calibri" w:hAnsi="Arial"/>
          <w:b/>
        </w:rPr>
      </w:pPr>
      <w:r>
        <w:rPr>
          <w:rFonts w:ascii="Arial" w:eastAsia="Calibri" w:hAnsi="Arial"/>
          <w:b/>
        </w:rPr>
        <w:t xml:space="preserve">GABIAO TIPO </w:t>
      </w:r>
      <w:proofErr w:type="gramStart"/>
      <w:r>
        <w:rPr>
          <w:rFonts w:ascii="Arial" w:eastAsia="Calibri" w:hAnsi="Arial"/>
          <w:b/>
        </w:rPr>
        <w:t>CAIXA,ZN</w:t>
      </w:r>
      <w:proofErr w:type="gramEnd"/>
      <w:r>
        <w:rPr>
          <w:rFonts w:ascii="Arial" w:eastAsia="Calibri" w:hAnsi="Arial"/>
          <w:b/>
        </w:rPr>
        <w:t>90/AL10,NBR 8964,H=1,00 M REVEST.POLI.ABRASAO MENOR QUE 12%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Será </w:t>
      </w:r>
      <w:r>
        <w:rPr>
          <w:rFonts w:ascii="Arial" w:hAnsi="Arial" w:cs="Arial"/>
          <w:sz w:val="24"/>
          <w:szCs w:val="24"/>
        </w:rPr>
        <w:t xml:space="preserve">medido pelo volume de </w:t>
      </w:r>
      <w:proofErr w:type="spellStart"/>
      <w:r>
        <w:rPr>
          <w:rFonts w:ascii="Arial" w:hAnsi="Arial" w:cs="Arial"/>
          <w:sz w:val="24"/>
          <w:szCs w:val="24"/>
        </w:rPr>
        <w:t>gabião</w:t>
      </w:r>
      <w:proofErr w:type="spellEnd"/>
      <w:r>
        <w:rPr>
          <w:rFonts w:ascii="Arial" w:hAnsi="Arial" w:cs="Arial"/>
          <w:sz w:val="24"/>
          <w:szCs w:val="24"/>
        </w:rPr>
        <w:t xml:space="preserve"> executado, nas dimensões especificadas em projeto aprovado pela Contratante e/ou Fiscalização (m³).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O item refere-se ao serviço de instalação de </w:t>
      </w:r>
      <w:proofErr w:type="spellStart"/>
      <w:r>
        <w:rPr>
          <w:rFonts w:ascii="Arial" w:hAnsi="Arial" w:cs="Arial"/>
          <w:sz w:val="24"/>
          <w:szCs w:val="24"/>
        </w:rPr>
        <w:t>gabião</w:t>
      </w:r>
      <w:proofErr w:type="spellEnd"/>
      <w:r>
        <w:rPr>
          <w:rFonts w:ascii="Arial" w:hAnsi="Arial" w:cs="Arial"/>
          <w:sz w:val="24"/>
          <w:szCs w:val="24"/>
        </w:rPr>
        <w:t xml:space="preserve"> para contenção das 2 laterais do canal de 170m que será alargado para 8m</w:t>
      </w:r>
      <w:r>
        <w:rPr>
          <w:rFonts w:ascii="Arial" w:hAnsi="Arial" w:cs="Arial"/>
          <w:sz w:val="24"/>
          <w:szCs w:val="24"/>
        </w:rPr>
        <w:t xml:space="preserve"> de largura, sendo um dos lados com 2m de altura (2,5m³/m de </w:t>
      </w:r>
      <w:proofErr w:type="spellStart"/>
      <w:r>
        <w:rPr>
          <w:rFonts w:ascii="Arial" w:hAnsi="Arial" w:cs="Arial"/>
          <w:sz w:val="24"/>
          <w:szCs w:val="24"/>
        </w:rPr>
        <w:t>gabião</w:t>
      </w:r>
      <w:proofErr w:type="spellEnd"/>
      <w:r>
        <w:rPr>
          <w:rFonts w:ascii="Arial" w:hAnsi="Arial" w:cs="Arial"/>
          <w:sz w:val="24"/>
          <w:szCs w:val="24"/>
        </w:rPr>
        <w:t xml:space="preserve">) e o outro lado de 3m de altura (4,5m³/m de </w:t>
      </w:r>
      <w:proofErr w:type="spellStart"/>
      <w:r>
        <w:rPr>
          <w:rFonts w:ascii="Arial" w:hAnsi="Arial" w:cs="Arial"/>
          <w:sz w:val="24"/>
          <w:szCs w:val="24"/>
        </w:rPr>
        <w:t>gabião</w:t>
      </w:r>
      <w:proofErr w:type="spellEnd"/>
      <w:r>
        <w:rPr>
          <w:rFonts w:ascii="Arial" w:hAnsi="Arial" w:cs="Arial"/>
          <w:sz w:val="24"/>
          <w:szCs w:val="24"/>
        </w:rPr>
        <w:t xml:space="preserve">), sendo 50% de pedras novas e 50% das reutilizadas que foram removidas, remunerando o fornecimento de tela para </w:t>
      </w:r>
      <w:proofErr w:type="spellStart"/>
      <w:r>
        <w:rPr>
          <w:rFonts w:ascii="Arial" w:hAnsi="Arial" w:cs="Arial"/>
          <w:sz w:val="24"/>
          <w:szCs w:val="24"/>
        </w:rPr>
        <w:t>gabião</w:t>
      </w:r>
      <w:proofErr w:type="spellEnd"/>
      <w:r>
        <w:rPr>
          <w:rFonts w:ascii="Arial" w:hAnsi="Arial" w:cs="Arial"/>
          <w:sz w:val="24"/>
          <w:szCs w:val="24"/>
        </w:rPr>
        <w:t>, com altura de 1 m</w:t>
      </w:r>
      <w:r>
        <w:rPr>
          <w:rFonts w:ascii="Arial" w:hAnsi="Arial" w:cs="Arial"/>
          <w:sz w:val="24"/>
          <w:szCs w:val="24"/>
        </w:rPr>
        <w:t xml:space="preserve">, malha hexagonal de torção dupla 8/10, fio com diâmetro de 2,7 mm, composta de arame de aço com revestimento abrasão menor de 12%, conforme estabelece a NBR 8964; referência comercial: </w:t>
      </w:r>
      <w:proofErr w:type="spellStart"/>
      <w:r>
        <w:rPr>
          <w:rFonts w:ascii="Arial" w:hAnsi="Arial" w:cs="Arial"/>
          <w:sz w:val="24"/>
          <w:szCs w:val="24"/>
        </w:rPr>
        <w:t>Maccaferri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Comep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Diprotec</w:t>
      </w:r>
      <w:proofErr w:type="spellEnd"/>
      <w:r>
        <w:rPr>
          <w:rFonts w:ascii="Arial" w:hAnsi="Arial" w:cs="Arial"/>
          <w:sz w:val="24"/>
          <w:szCs w:val="24"/>
        </w:rPr>
        <w:t xml:space="preserve"> ou equivalente. Remunera também pedra para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enrocamento</w:t>
      </w:r>
      <w:proofErr w:type="spellEnd"/>
      <w:r>
        <w:rPr>
          <w:rFonts w:ascii="Arial" w:hAnsi="Arial" w:cs="Arial"/>
          <w:sz w:val="24"/>
          <w:szCs w:val="24"/>
        </w:rPr>
        <w:t xml:space="preserve">, amarrilho para amarração e </w:t>
      </w:r>
      <w:proofErr w:type="spellStart"/>
      <w:r>
        <w:rPr>
          <w:rFonts w:ascii="Arial" w:hAnsi="Arial" w:cs="Arial"/>
          <w:sz w:val="24"/>
          <w:szCs w:val="24"/>
        </w:rPr>
        <w:t>atirantamento</w:t>
      </w:r>
      <w:proofErr w:type="spellEnd"/>
      <w:r>
        <w:rPr>
          <w:rFonts w:ascii="Arial" w:hAnsi="Arial" w:cs="Arial"/>
          <w:sz w:val="24"/>
          <w:szCs w:val="24"/>
        </w:rPr>
        <w:t xml:space="preserve">, a mão de obra e equipamentos necessários para execução completa do </w:t>
      </w:r>
      <w:proofErr w:type="spellStart"/>
      <w:r>
        <w:rPr>
          <w:rFonts w:ascii="Arial" w:hAnsi="Arial" w:cs="Arial"/>
          <w:sz w:val="24"/>
          <w:szCs w:val="24"/>
        </w:rPr>
        <w:t>gabião</w:t>
      </w:r>
      <w:proofErr w:type="spellEnd"/>
      <w:r>
        <w:rPr>
          <w:rFonts w:ascii="Arial" w:hAnsi="Arial" w:cs="Arial"/>
          <w:sz w:val="24"/>
          <w:szCs w:val="24"/>
        </w:rPr>
        <w:t>. Não remunera a manta geotêxtil.</w:t>
      </w:r>
    </w:p>
    <w:p w:rsidR="00147A76" w:rsidRDefault="00147A76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Manta geotêxtil com resistência à tração longitudinal de 16kN/m e transversal de 14kN/m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S</w:t>
      </w:r>
      <w:r>
        <w:rPr>
          <w:rFonts w:ascii="Arial" w:hAnsi="Arial" w:cs="Arial"/>
          <w:sz w:val="24"/>
          <w:szCs w:val="24"/>
        </w:rPr>
        <w:t>erá medido pela área de manta instalada (m²).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O item remunera o fornecimento de manta geotêxtil com resistência à tração longitudinal de 16 KN/m e resistência à tração transversal de 14 KN/m para a proteção dos </w:t>
      </w:r>
      <w:proofErr w:type="spellStart"/>
      <w:r>
        <w:rPr>
          <w:rFonts w:ascii="Arial" w:hAnsi="Arial" w:cs="Arial"/>
          <w:sz w:val="24"/>
          <w:szCs w:val="24"/>
        </w:rPr>
        <w:t>gabiões</w:t>
      </w:r>
      <w:proofErr w:type="spellEnd"/>
      <w:r>
        <w:rPr>
          <w:rFonts w:ascii="Arial" w:hAnsi="Arial" w:cs="Arial"/>
          <w:sz w:val="24"/>
          <w:szCs w:val="24"/>
        </w:rPr>
        <w:t xml:space="preserve"> em todo perímetro em contato com o</w:t>
      </w:r>
      <w:r>
        <w:rPr>
          <w:rFonts w:ascii="Arial" w:hAnsi="Arial" w:cs="Arial"/>
          <w:sz w:val="24"/>
          <w:szCs w:val="24"/>
        </w:rPr>
        <w:t xml:space="preserve"> solo, conforme projeto; referência comercial: linha </w:t>
      </w:r>
      <w:proofErr w:type="spellStart"/>
      <w:r>
        <w:rPr>
          <w:rFonts w:ascii="Arial" w:hAnsi="Arial" w:cs="Arial"/>
          <w:sz w:val="24"/>
          <w:szCs w:val="24"/>
        </w:rPr>
        <w:t>Bidim</w:t>
      </w:r>
      <w:proofErr w:type="spellEnd"/>
      <w:r>
        <w:rPr>
          <w:rFonts w:ascii="Arial" w:hAnsi="Arial" w:cs="Arial"/>
          <w:sz w:val="24"/>
          <w:szCs w:val="24"/>
        </w:rPr>
        <w:t xml:space="preserve"> RT ou equivalente. Remunera também materiais, acessórios e a mão de obra necessária para instalação da manta.</w:t>
      </w:r>
    </w:p>
    <w:p w:rsidR="00147A76" w:rsidRDefault="00147A76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Concreto ciclópico - fornecimento e aplicação (com 30% de pedra rachão), concreto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fck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15 Mpa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Será medido pelo volume calculado no projeto de formas; sendo que o volume da interseção dos diversos elementos estruturais deve ser computado uma só vez (m³).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O item remunera o fornecimento de betoneira, 30% pedra de mão, pedra britada número</w:t>
      </w:r>
      <w:r>
        <w:rPr>
          <w:rFonts w:ascii="Arial" w:hAnsi="Arial" w:cs="Arial"/>
          <w:sz w:val="24"/>
          <w:szCs w:val="24"/>
        </w:rPr>
        <w:t xml:space="preserve">s médios, cimento, areia e a mão de obra necessária para o preparo e aplicação do concreto ciclópico na base de todo o canal, na largura de 12,5m cobrindo toda a largura de 8m do canal e as larguras dos </w:t>
      </w:r>
      <w:proofErr w:type="spellStart"/>
      <w:r>
        <w:rPr>
          <w:rFonts w:ascii="Arial" w:hAnsi="Arial" w:cs="Arial"/>
          <w:sz w:val="24"/>
          <w:szCs w:val="24"/>
        </w:rPr>
        <w:t>gabiões</w:t>
      </w:r>
      <w:proofErr w:type="spellEnd"/>
      <w:r>
        <w:rPr>
          <w:rFonts w:ascii="Arial" w:hAnsi="Arial" w:cs="Arial"/>
          <w:sz w:val="24"/>
          <w:szCs w:val="24"/>
        </w:rPr>
        <w:t xml:space="preserve"> (2m de um lado e 1,5m do outro), e mais 0,50m</w:t>
      </w:r>
      <w:r>
        <w:rPr>
          <w:rFonts w:ascii="Arial" w:hAnsi="Arial" w:cs="Arial"/>
          <w:sz w:val="24"/>
          <w:szCs w:val="24"/>
        </w:rPr>
        <w:t xml:space="preserve"> para cada lado extrapolando a largura dos </w:t>
      </w:r>
      <w:proofErr w:type="spellStart"/>
      <w:r>
        <w:rPr>
          <w:rFonts w:ascii="Arial" w:hAnsi="Arial" w:cs="Arial"/>
          <w:sz w:val="24"/>
          <w:szCs w:val="24"/>
        </w:rPr>
        <w:t>gabiões</w:t>
      </w:r>
      <w:proofErr w:type="spellEnd"/>
      <w:r>
        <w:rPr>
          <w:rFonts w:ascii="Arial" w:hAnsi="Arial" w:cs="Arial"/>
          <w:sz w:val="24"/>
          <w:szCs w:val="24"/>
        </w:rPr>
        <w:t>, conforme projeto.</w:t>
      </w:r>
    </w:p>
    <w:p w:rsidR="00147A76" w:rsidRDefault="00147A76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47A76" w:rsidRDefault="0009247C">
      <w:pPr>
        <w:suppressAutoHyphens w:val="0"/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Aterro mecanizado por compensação, solo de 1ª categoria em campo aberto, sem compactação do aterro</w:t>
      </w:r>
      <w:r>
        <w:rPr>
          <w:rFonts w:ascii="Arial" w:hAnsi="Arial" w:cs="Arial"/>
          <w:b/>
          <w:bCs/>
          <w:sz w:val="24"/>
          <w:szCs w:val="24"/>
          <w:u w:val="single"/>
        </w:rPr>
        <w:br/>
      </w:r>
      <w:r>
        <w:rPr>
          <w:rFonts w:ascii="Arial" w:hAnsi="Arial" w:cs="Arial"/>
          <w:sz w:val="24"/>
          <w:szCs w:val="24"/>
        </w:rPr>
        <w:t>1) Será medido pelo volume de aterro executado, considerado na caixa (m³).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O item remunera o fornecimento de equipamentos e mão de obra necessários para a execução de aterro mecanizado das áreas atrás das contenções de </w:t>
      </w:r>
      <w:proofErr w:type="spellStart"/>
      <w:r>
        <w:rPr>
          <w:rFonts w:ascii="Arial" w:hAnsi="Arial" w:cs="Arial"/>
          <w:sz w:val="24"/>
          <w:szCs w:val="24"/>
        </w:rPr>
        <w:t>gabião</w:t>
      </w:r>
      <w:proofErr w:type="spellEnd"/>
      <w:r>
        <w:rPr>
          <w:rFonts w:ascii="Arial" w:hAnsi="Arial" w:cs="Arial"/>
          <w:sz w:val="24"/>
          <w:szCs w:val="24"/>
        </w:rPr>
        <w:t>, que foram removidas para ter espaço de trabalhabilidade nos serviços da contenção. Engloba os serviço</w:t>
      </w:r>
      <w:r>
        <w:rPr>
          <w:rFonts w:ascii="Arial" w:hAnsi="Arial" w:cs="Arial"/>
          <w:sz w:val="24"/>
          <w:szCs w:val="24"/>
        </w:rPr>
        <w:t xml:space="preserve">s: corte; carregamento e transporte até o raio de um quilômetro, dentro da obra; o lançamento do solo para aterro; acertos e acabamentos manuais no corte. </w:t>
      </w:r>
    </w:p>
    <w:p w:rsidR="00147A76" w:rsidRDefault="00147A76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Plantio de grama batatais em placas (jardins e canteiros) 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Será medido pela área real de terreno</w:t>
      </w:r>
      <w:r>
        <w:rPr>
          <w:rFonts w:ascii="Arial" w:hAnsi="Arial" w:cs="Arial"/>
          <w:sz w:val="24"/>
          <w:szCs w:val="24"/>
        </w:rPr>
        <w:t xml:space="preserve"> onde ocorrer o plantio de grama (m²). </w:t>
      </w:r>
    </w:p>
    <w:p w:rsidR="00147A76" w:rsidRDefault="0009247C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O item remunera o fornecimento de grama Batatais (</w:t>
      </w:r>
      <w:proofErr w:type="spellStart"/>
      <w:r>
        <w:rPr>
          <w:rFonts w:ascii="Arial" w:hAnsi="Arial" w:cs="Arial"/>
          <w:sz w:val="24"/>
          <w:szCs w:val="24"/>
        </w:rPr>
        <w:t>Paspalum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notatum</w:t>
      </w:r>
      <w:proofErr w:type="spellEnd"/>
      <w:r>
        <w:rPr>
          <w:rFonts w:ascii="Arial" w:hAnsi="Arial" w:cs="Arial"/>
          <w:sz w:val="24"/>
          <w:szCs w:val="24"/>
        </w:rPr>
        <w:t xml:space="preserve">) em placas, terra vegetal e a mão-de-obra necessária para o plantio nos taludes dos dois lados de toda extensão de 170m do canal, contemplando os </w:t>
      </w:r>
      <w:r>
        <w:rPr>
          <w:rFonts w:ascii="Arial" w:hAnsi="Arial" w:cs="Arial"/>
          <w:sz w:val="24"/>
          <w:szCs w:val="24"/>
        </w:rPr>
        <w:t>serviços de: preparo do solo; plantio das placas justapostas, promovendo a completa forração da superfície; irrigação; e cobertura com terra vegetal, em jardins e canteiros. Remunera também a rega e conservação para pega das mudas e a substituição de placa</w:t>
      </w:r>
      <w:r>
        <w:rPr>
          <w:rFonts w:ascii="Arial" w:hAnsi="Arial" w:cs="Arial"/>
          <w:sz w:val="24"/>
          <w:szCs w:val="24"/>
        </w:rPr>
        <w:t>s que não pegarem, num prazo de 30 dias.</w:t>
      </w:r>
    </w:p>
    <w:p w:rsidR="00147A76" w:rsidRDefault="00147A76">
      <w:pPr>
        <w:suppressAutoHyphens w:val="0"/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7938" w:type="dxa"/>
        <w:tblInd w:w="1096" w:type="dxa"/>
        <w:tblLook w:val="04A0" w:firstRow="1" w:lastRow="0" w:firstColumn="1" w:lastColumn="0" w:noHBand="0" w:noVBand="1"/>
      </w:tblPr>
      <w:tblGrid>
        <w:gridCol w:w="3806"/>
        <w:gridCol w:w="4132"/>
      </w:tblGrid>
      <w:tr w:rsidR="00147A76">
        <w:trPr>
          <w:trHeight w:val="2514"/>
        </w:trPr>
        <w:tc>
          <w:tcPr>
            <w:tcW w:w="3806" w:type="dxa"/>
            <w:tcBorders>
              <w:left w:val="nil"/>
            </w:tcBorders>
            <w:shd w:val="clear" w:color="auto" w:fill="auto"/>
          </w:tcPr>
          <w:p w:rsidR="00147A76" w:rsidRDefault="00147A7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  <w:p w:rsidR="00147A76" w:rsidRDefault="00147A7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  <w:p w:rsidR="00147A76" w:rsidRDefault="00147A76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</w:p>
          <w:p w:rsidR="00147A76" w:rsidRDefault="0009247C">
            <w:pPr>
              <w:widowControl w:val="0"/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Estância Turística de Ibitinga,</w:t>
            </w:r>
          </w:p>
          <w:p w:rsidR="00147A76" w:rsidRDefault="0009247C">
            <w:pPr>
              <w:widowControl w:val="0"/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color w:val="000000"/>
              </w:rPr>
              <w:t>28</w:t>
            </w:r>
            <w:r>
              <w:rPr>
                <w:color w:val="000000"/>
              </w:rPr>
              <w:t xml:space="preserve"> de abril</w:t>
            </w:r>
            <w:r>
              <w:rPr>
                <w:color w:val="000000"/>
              </w:rPr>
              <w:t xml:space="preserve"> de 2025</w:t>
            </w:r>
          </w:p>
        </w:tc>
        <w:tc>
          <w:tcPr>
            <w:tcW w:w="4131" w:type="dxa"/>
            <w:tcBorders>
              <w:right w:val="nil"/>
            </w:tcBorders>
            <w:shd w:val="clear" w:color="auto" w:fill="auto"/>
          </w:tcPr>
          <w:p w:rsidR="00147A76" w:rsidRDefault="00147A76">
            <w:pPr>
              <w:pStyle w:val="Recuodecorpodetexto"/>
              <w:widowControl w:val="0"/>
              <w:spacing w:after="0" w:line="240" w:lineRule="auto"/>
              <w:ind w:left="0"/>
              <w:jc w:val="center"/>
              <w:rPr>
                <w:rFonts w:ascii="Calibri" w:eastAsia="Calibri" w:hAnsi="Calibri"/>
              </w:rPr>
            </w:pPr>
          </w:p>
          <w:p w:rsidR="00147A76" w:rsidRDefault="00147A76">
            <w:pPr>
              <w:pStyle w:val="Recuodecorpodetexto"/>
              <w:widowControl w:val="0"/>
              <w:spacing w:after="0" w:line="240" w:lineRule="auto"/>
              <w:ind w:left="0"/>
              <w:jc w:val="center"/>
              <w:rPr>
                <w:rFonts w:ascii="Calibri" w:eastAsia="Calibri" w:hAnsi="Calibri"/>
              </w:rPr>
            </w:pPr>
          </w:p>
          <w:p w:rsidR="00147A76" w:rsidRDefault="00147A76">
            <w:pPr>
              <w:pStyle w:val="Recuodecorpodetexto"/>
              <w:widowControl w:val="0"/>
              <w:spacing w:after="0" w:line="240" w:lineRule="auto"/>
              <w:ind w:left="0"/>
              <w:jc w:val="center"/>
              <w:rPr>
                <w:rFonts w:ascii="Calibri" w:eastAsia="Calibri" w:hAnsi="Calibri"/>
              </w:rPr>
            </w:pPr>
          </w:p>
          <w:p w:rsidR="00147A76" w:rsidRDefault="0009247C">
            <w:pPr>
              <w:pStyle w:val="Recuodecorpodetexto"/>
              <w:widowControl w:val="0"/>
              <w:spacing w:after="0" w:line="240" w:lineRule="auto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Henrique Faustino do Nascimento Silva</w:t>
            </w:r>
          </w:p>
          <w:p w:rsidR="00147A76" w:rsidRDefault="0009247C">
            <w:pPr>
              <w:pStyle w:val="Recuodecorpodetexto"/>
              <w:widowControl w:val="0"/>
              <w:spacing w:after="0" w:line="240" w:lineRule="auto"/>
              <w:ind w:left="0"/>
              <w:jc w:val="center"/>
            </w:pPr>
            <w:r>
              <w:t>Secretário de Obras Públicas</w:t>
            </w:r>
          </w:p>
          <w:p w:rsidR="00147A76" w:rsidRDefault="00147A76" w:rsidP="0009247C">
            <w:pPr>
              <w:pStyle w:val="Recuodecorpodetexto"/>
              <w:widowControl w:val="0"/>
              <w:spacing w:after="0" w:line="240" w:lineRule="auto"/>
              <w:ind w:left="0"/>
              <w:jc w:val="center"/>
              <w:rPr>
                <w:rFonts w:ascii="Calibri" w:eastAsia="Calibri" w:hAnsi="Calibri"/>
              </w:rPr>
            </w:pPr>
          </w:p>
        </w:tc>
      </w:tr>
    </w:tbl>
    <w:p w:rsidR="00147A76" w:rsidRDefault="00147A76"/>
    <w:sectPr w:rsidR="00147A76">
      <w:headerReference w:type="default" r:id="rId7"/>
      <w:footerReference w:type="default" r:id="rId8"/>
      <w:pgSz w:w="11906" w:h="16838"/>
      <w:pgMar w:top="1417" w:right="1701" w:bottom="1417" w:left="1701" w:header="568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09247C">
      <w:pPr>
        <w:spacing w:after="0" w:line="240" w:lineRule="auto"/>
      </w:pPr>
      <w:r>
        <w:separator/>
      </w:r>
    </w:p>
  </w:endnote>
  <w:endnote w:type="continuationSeparator" w:id="0">
    <w:p w:rsidR="00000000" w:rsidRDefault="0009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20002A87" w:usb1="00000000" w:usb2="00000000" w:usb3="00000000" w:csb0="000001FF" w:csb1="00000000"/>
  </w:font>
  <w:font w:name="Liberation Sans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A76" w:rsidRDefault="0009247C">
    <w:pPr>
      <w:pStyle w:val="Rodap"/>
      <w:jc w:val="center"/>
    </w:pPr>
    <w:r>
      <w:rPr>
        <w:noProof/>
      </w:rPr>
      <w:drawing>
        <wp:inline distT="0" distB="0" distL="0" distR="0">
          <wp:extent cx="5400040" cy="76263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762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09247C">
      <w:pPr>
        <w:spacing w:after="0" w:line="240" w:lineRule="auto"/>
      </w:pPr>
      <w:r>
        <w:separator/>
      </w:r>
    </w:p>
  </w:footnote>
  <w:footnote w:type="continuationSeparator" w:id="0">
    <w:p w:rsidR="00000000" w:rsidRDefault="0009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7A76" w:rsidRDefault="0009247C">
    <w:pPr>
      <w:pStyle w:val="Cabealho"/>
      <w:jc w:val="center"/>
    </w:pPr>
    <w:r>
      <w:rPr>
        <w:noProof/>
      </w:rPr>
      <w:drawing>
        <wp:inline distT="0" distB="0" distL="0" distR="0">
          <wp:extent cx="5400040" cy="10160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01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7A76"/>
    <w:rsid w:val="0009247C"/>
    <w:rsid w:val="0014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5F69C"/>
  <w15:docId w15:val="{B65C3340-61D1-4037-94C2-FB680F539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344C"/>
    <w:pPr>
      <w:suppressAutoHyphens/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892436"/>
  </w:style>
  <w:style w:type="character" w:customStyle="1" w:styleId="RodapChar">
    <w:name w:val="Rodapé Char"/>
    <w:basedOn w:val="Fontepargpadro"/>
    <w:link w:val="Rodap"/>
    <w:uiPriority w:val="99"/>
    <w:qFormat/>
    <w:rsid w:val="00892436"/>
  </w:style>
  <w:style w:type="character" w:customStyle="1" w:styleId="CorpodetextoChar">
    <w:name w:val="Corpo de texto Char"/>
    <w:basedOn w:val="Fontepargpadro"/>
    <w:link w:val="Corpodetexto"/>
    <w:qFormat/>
    <w:rsid w:val="00892436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B930BC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C153B"/>
    <w:rPr>
      <w:rFonts w:ascii="Segoe UI" w:hAnsi="Segoe UI" w:cs="Segoe UI"/>
      <w:sz w:val="18"/>
      <w:szCs w:val="18"/>
    </w:rPr>
  </w:style>
  <w:style w:type="character" w:customStyle="1" w:styleId="Absatz-Standardschriftart">
    <w:name w:val="Absatz-Standardschriftart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892436"/>
    <w:pPr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next w:val="Normal"/>
    <w:qFormat/>
    <w:rsid w:val="008924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0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892436"/>
    <w:pPr>
      <w:tabs>
        <w:tab w:val="center" w:pos="4252"/>
        <w:tab w:val="right" w:pos="8504"/>
      </w:tabs>
      <w:spacing w:after="0" w:line="240" w:lineRule="auto"/>
    </w:pPr>
  </w:style>
  <w:style w:type="paragraph" w:styleId="Recuodecorpodetexto">
    <w:name w:val="Body Text Indent"/>
    <w:basedOn w:val="Normal"/>
    <w:link w:val="RecuodecorpodetextoChar"/>
    <w:uiPriority w:val="99"/>
    <w:unhideWhenUsed/>
    <w:rsid w:val="00B930BC"/>
    <w:pPr>
      <w:spacing w:after="120"/>
      <w:ind w:left="283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BC153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PargrafodaLista">
    <w:name w:val="List Paragraph"/>
    <w:basedOn w:val="Normal"/>
    <w:uiPriority w:val="34"/>
    <w:qFormat/>
    <w:rsid w:val="00C212B8"/>
    <w:pPr>
      <w:ind w:left="720"/>
      <w:contextualSpacing/>
    </w:pPr>
  </w:style>
  <w:style w:type="table" w:styleId="Tabelacomgrade">
    <w:name w:val="Table Grid"/>
    <w:basedOn w:val="Tabelanormal"/>
    <w:uiPriority w:val="59"/>
    <w:rsid w:val="00892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F51C1-1133-420E-BC31-198811E1B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3090</TotalTime>
  <Pages>6</Pages>
  <Words>1701</Words>
  <Characters>9191</Characters>
  <Application>Microsoft Office Word</Application>
  <DocSecurity>0</DocSecurity>
  <Lines>76</Lines>
  <Paragraphs>21</Paragraphs>
  <ScaleCrop>false</ScaleCrop>
  <Company/>
  <LinksUpToDate>false</LinksUpToDate>
  <CharactersWithSpaces>10871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Saude 01</dc:creator>
  <dc:description/>
  <cp:lastModifiedBy>joao</cp:lastModifiedBy>
  <cp:revision>1016</cp:revision>
  <cp:lastPrinted>2025-04-28T14:39:00Z</cp:lastPrinted>
  <dcterms:created xsi:type="dcterms:W3CDTF">2021-10-20T12:28:00Z</dcterms:created>
  <dcterms:modified xsi:type="dcterms:W3CDTF">2025-04-28T14:39:00Z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